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39.png" ContentType="image/png"/>
  <Override PartName="/word/media/rId229.png" ContentType="image/png"/>
  <Override PartName="/word/media/rId251.png" ContentType="image/png"/>
  <Override PartName="/word/media/rId255.png" ContentType="image/png"/>
  <Override PartName="/word/media/rId211.gif" ContentType="image/gif"/>
  <Override PartName="/word/media/rId215.gif" ContentType="image/gif"/>
  <Override PartName="/word/media/rId220.png" ContentType="image/png"/>
  <Override PartName="/word/media/rId102.png" ContentType="image/png"/>
  <Override PartName="/word/media/rId137.png" ContentType="image/png"/>
  <Override PartName="/word/media/rId150.png" ContentType="image/png"/>
  <Override PartName="/word/media/rId97.png" ContentType="image/png"/>
  <Override PartName="/word/media/rId178.png" ContentType="image/png"/>
  <Override PartName="/word/media/rId159.png" ContentType="image/png"/>
  <Override PartName="/word/media/rId155.png" ContentType="image/png"/>
  <Override PartName="/word/media/rId171.png" ContentType="image/png"/>
  <Override PartName="/word/media/rId146.png" ContentType="image/png"/>
  <Override PartName="/word/media/rId185.png" ContentType="image/png"/>
  <Override PartName="/word/media/rId141.png" ContentType="image/png"/>
  <Override PartName="/word/media/rId167.png" ContentType="image/png"/>
  <Override PartName="/word/media/rId202.png" ContentType="image/png"/>
  <Override PartName="/word/media/rId206.png" ContentType="image/png"/>
  <Override PartName="/word/media/rId233.png" ContentType="image/png"/>
  <Override PartName="/word/media/rId329.png" ContentType="image/png"/>
  <Override PartName="/word/media/rId321.png" ContentType="image/png"/>
  <Override PartName="/word/media/rId343.png" ContentType="image/png"/>
  <Override PartName="/word/media/rId334.png" ContentType="image/png"/>
  <Override PartName="/word/media/rId33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99.png" ContentType="image/png"/>
  <Override PartName="/word/media/rId304.png" ContentType="image/png"/>
  <Override PartName="/word/media/rId266.gif" ContentType="image/gif"/>
  <Override PartName="/word/media/rId270.png" ContentType="image/png"/>
  <Override PartName="/word/media/rId292.png" ContentType="image/png"/>
  <Override PartName="/word/media/rId285.png" ContentType="image/png"/>
  <Override PartName="/word/media/rId3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 - 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sec-identify"/>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every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 - 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 - 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How many resources can we spare?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p>
      <w:pPr>
        <w:pStyle w:val="Compact"/>
        <w:numPr>
          <w:ilvl w:val="0"/>
          <w:numId w:val="1004"/>
        </w:numPr>
      </w:pPr>
      <w:r>
        <w:t xml:space="preserve">Possible side-effects when implementing the solution?</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a store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 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w:t>
      </w:r>
      <w:r>
        <w:t xml:space="preserve">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For each possible alternative (e.g.,</w:t>
      </w:r>
      <w:r>
        <w:t xml:space="preserve"> </w:t>
      </w:r>
      <w:r>
        <w:t xml:space="preserve">“launch product”</w:t>
      </w:r>
      <w:r>
        <w:t xml:space="preserve"> </w:t>
      </w:r>
      <w:r>
        <w:t xml:space="preserve">vs. </w:t>
      </w:r>
      <w:r>
        <w:t xml:space="preserve">“do not launch product”</w:t>
      </w:r>
      <w:r>
        <w:t xml:space="preserve">), list out the outcome/payoff under every possible scenario (e.g.,</w:t>
      </w:r>
      <w:r>
        <w:t xml:space="preserve"> </w:t>
      </w:r>
      <w:r>
        <w:t xml:space="preserve">“High demand,”</w:t>
      </w:r>
      <w:r>
        <w:t xml:space="preserve"> </w:t>
      </w:r>
      <w:r>
        <w:t xml:space="preserve">“Low demand”</w:t>
      </w:r>
      <w:r>
        <w:t xml:space="preserve">). Then identify the worst payoff (the minimum) for that alternative across all its scenarios. Compare those worst payoffs across alternatives, and pick the alternative whose minimum payoff is highest (</w:t>
      </w:r>
      <w:r>
        <w:t xml:space="preserve">“max”</w:t>
      </w:r>
      <w:r>
        <w:t xml:space="preserve"> </w:t>
      </w:r>
      <w:r>
        <w:t xml:space="preserve">of the</w:t>
      </w:r>
      <w:r>
        <w:t xml:space="preserve"> </w:t>
      </w:r>
      <w:r>
        <w:t xml:space="preserve">“min”</w:t>
      </w:r>
      <w:r>
        <w:t xml:space="preserve"> </w:t>
      </w:r>
      <w:r>
        <w:t xml:space="preserve">outcomes). 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in low demand: + €100.000</w:t>
      </w:r>
    </w:p>
    <w:p>
      <w:pPr>
        <w:pStyle w:val="Compact"/>
        <w:numPr>
          <w:ilvl w:val="1"/>
          <w:numId w:val="1013"/>
        </w:numPr>
      </w:pPr>
      <w:r>
        <w:t xml:space="preserve">Alternative A in high demand: + €250.000</w:t>
      </w:r>
    </w:p>
    <w:p>
      <w:pPr>
        <w:pStyle w:val="Compact"/>
        <w:numPr>
          <w:ilvl w:val="1"/>
          <w:numId w:val="1013"/>
        </w:numPr>
      </w:pPr>
      <w:r>
        <w:t xml:space="preserve">Alternative B in low demand: + €75.000</w:t>
      </w:r>
    </w:p>
    <w:p>
      <w:pPr>
        <w:pStyle w:val="Compact"/>
        <w:numPr>
          <w:ilvl w:val="1"/>
          <w:numId w:val="1013"/>
        </w:numPr>
      </w:pPr>
      <w:r>
        <w:t xml:space="preserve">Alternative B in high demand: + €280.000</w:t>
      </w:r>
    </w:p>
    <w:p>
      <w:pPr>
        <w:pStyle w:val="Compact"/>
        <w:numPr>
          <w:ilvl w:val="1"/>
          <w:numId w:val="1013"/>
        </w:numPr>
      </w:pPr>
      <w:r>
        <w:t xml:space="preserve">If you choose maximin you would pick A because its minimum (the worst -&gt; €100.000) across demand scenarios is higher than the worst of B (€75.000).</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 - and the one we adopt - 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 - no matter how good the data are - 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 - 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9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when it comes to digging into the data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Data patterns serve multiple purposes:</w:t>
      </w:r>
    </w:p>
    <w:p>
      <w:pPr>
        <w:numPr>
          <w:ilvl w:val="0"/>
          <w:numId w:val="1018"/>
        </w:numPr>
      </w:pPr>
      <w:r>
        <w:rPr>
          <w:b/>
          <w:bCs/>
        </w:rPr>
        <w:t xml:space="preserve">Generating initial insights:</w:t>
      </w:r>
      <w:r>
        <w:t xml:space="preserve"> </w:t>
      </w:r>
      <w:r>
        <w:t xml:space="preserve">Recognizing recurring structures or trends in data provides an early glimpse into how different factors - such as consumer behavior, expenses, or operational processes - might be interconnected.</w:t>
      </w:r>
    </w:p>
    <w:p>
      <w:pPr>
        <w:numPr>
          <w:ilvl w:val="0"/>
          <w:numId w:val="1018"/>
        </w:numPr>
      </w:pPr>
      <w:r>
        <w:rPr>
          <w:b/>
          <w:bCs/>
        </w:rPr>
        <w:t xml:space="preserve">Guiding further analysis:</w:t>
      </w:r>
      <w:r>
        <w:t xml:space="preserve"> </w:t>
      </w:r>
      <w:r>
        <w:t xml:space="preserve">Patterns offer starting hypotheses about potential drivers of an outcome. These hypotheses can then be tested and refined through diagnostic or predictive models, enabling more precise and reliable conclusions.</w:t>
      </w:r>
    </w:p>
    <w:p>
      <w:pPr>
        <w:numPr>
          <w:ilvl w:val="0"/>
          <w:numId w:val="1018"/>
        </w:numPr>
      </w:pPr>
      <w:r>
        <w:rPr>
          <w:b/>
          <w:bCs/>
        </w:rPr>
        <w:t xml:space="preserve">Detecting anomalies:</w:t>
      </w:r>
      <w:r>
        <w:t xml:space="preserve"> </w:t>
      </w:r>
      <w:r>
        <w:t xml:space="preserve">Patterns can highlight anomalies or outliers that deviate significantly from the norm. These may signal errors, fraud, or data quality issues that need prompt investigation.</w:t>
      </w:r>
    </w:p>
    <w:p>
      <w:pPr>
        <w:numPr>
          <w:ilvl w:val="0"/>
          <w:numId w:val="1018"/>
        </w:numPr>
      </w:pPr>
      <w:r>
        <w:rPr>
          <w:b/>
          <w:bCs/>
        </w:rPr>
        <w:t xml:space="preserve">Laying the groundwork for advanced techniques:</w:t>
      </w:r>
      <w:r>
        <w:t xml:space="preserve"> </w:t>
      </w:r>
      <w:r>
        <w:t xml:space="preserve">Once key patterns are recognized, deeper analyses (e.g., causal modeling, predictive analytics) can follow. This helps to move from merely spotting patterns to fully exploiting them for improved decision-making.</w:t>
      </w:r>
    </w:p>
    <w:p>
      <w:pPr>
        <w:pStyle w:val="FirstParagraph"/>
      </w:pPr>
      <w:r>
        <w:t xml:space="preserve">As you will see in the next section, examples drawn from various types of data - such as customer, financial, operational, marketing, or employee data - illustrate how identifying and examining patterns can show pathways to more detailed investigation and action.</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A business tracks metrics like purchase frequency, product categories, and seasonal buying patterns.</w:t>
      </w:r>
    </w:p>
    <w:p>
      <w:pPr>
        <w:numPr>
          <w:ilvl w:val="0"/>
          <w:numId w:val="1019"/>
        </w:numPr>
      </w:pPr>
      <w:r>
        <w:t xml:space="preserve">Example 1: Sales data reveals a particular product is consistently purchased in two-week intervals. Further investigation ties this pattern to the product’s short shelf life, prompting adjusted inventory practices to be stocked up at the right moment and promotional tactics.</w:t>
      </w:r>
    </w:p>
    <w:p>
      <w:pPr>
        <w:numPr>
          <w:ilvl w:val="0"/>
          <w:numId w:val="1019"/>
        </w:numPr>
      </w:pPr>
      <w:r>
        <w:t xml:space="preserve">Example 2: Purchases spike around specific holidays. The company discovers this is linked to seasonal promotions, guiding more precise marketing campaigns during those periods.</w:t>
      </w:r>
    </w:p>
    <w:p>
      <w:pPr>
        <w:pStyle w:val="FirstParagraph"/>
      </w:pPr>
      <w:r>
        <w:t xml:space="preserve">Identifying these patterns helps businesses optimize product availability and tailor promotions to customer buying behaviors.</w:t>
      </w:r>
    </w:p>
    <w:bookmarkEnd w:id="91"/>
    <w:bookmarkStart w:id="92" w:name="financial-data"/>
    <w:p>
      <w:pPr>
        <w:pStyle w:val="Heading3"/>
      </w:pPr>
      <w:r>
        <w:t xml:space="preserve">3.4.2 Financial data</w:t>
      </w:r>
    </w:p>
    <w:p>
      <w:pPr>
        <w:pStyle w:val="FirstParagraph"/>
      </w:pPr>
      <w:r>
        <w:t xml:space="preserve">A company monitors expenses across categories, budget allocations, and cash flows.</w:t>
      </w:r>
    </w:p>
    <w:p>
      <w:pPr>
        <w:numPr>
          <w:ilvl w:val="0"/>
          <w:numId w:val="1020"/>
        </w:numPr>
      </w:pPr>
      <w:r>
        <w:t xml:space="preserve">Example 1: Travel costs regularly exceed targets. Further analysis links the overrun to frequent business trips; the company curbs costs through video conferencing and travel agency discounts.</w:t>
      </w:r>
    </w:p>
    <w:p>
      <w:pPr>
        <w:numPr>
          <w:ilvl w:val="0"/>
          <w:numId w:val="1020"/>
        </w:numPr>
      </w:pPr>
      <w:r>
        <w:t xml:space="preserve">Example 2: Multiple expense categories go over budget due to weak oversight. The firm introduces stricter policies and tracking tools, reducing overspending and boosting transparency.</w:t>
      </w:r>
    </w:p>
    <w:p>
      <w:pPr>
        <w:pStyle w:val="FirstParagraph"/>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w:t>
      </w:r>
    </w:p>
    <w:p>
      <w:pPr>
        <w:numPr>
          <w:ilvl w:val="0"/>
          <w:numId w:val="1021"/>
        </w:numPr>
      </w:pPr>
      <w:r>
        <w:t xml:space="preserve">Example 1: Defect rates spike at a specific production step. Further study discovers faulty machinery, leading to repairs or process adjustments that cut defects.</w:t>
      </w:r>
    </w:p>
    <w:p>
      <w:pPr>
        <w:numPr>
          <w:ilvl w:val="0"/>
          <w:numId w:val="1021"/>
        </w:numPr>
      </w:pPr>
      <w:r>
        <w:t xml:space="preserve">Example 2: Persistent bottlenecks emerge in one stage of the workflow. Deeper analysis ties them to inadequate resources, prompting workforce adjustments or supply chain improvements.</w:t>
      </w:r>
    </w:p>
    <w:p>
      <w:pPr>
        <w:pStyle w:val="FirstParagraph"/>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w:t>
      </w:r>
    </w:p>
    <w:p>
      <w:pPr>
        <w:numPr>
          <w:ilvl w:val="0"/>
          <w:numId w:val="1022"/>
        </w:numPr>
      </w:pPr>
      <w:r>
        <w:t xml:space="preserve">Example 1: Personalized emails yield significantly higher conversions. Further review credits tailored messaging with greater relevance, prompting the company to invest more in personalization.</w:t>
      </w:r>
    </w:p>
    <w:p>
      <w:pPr>
        <w:numPr>
          <w:ilvl w:val="0"/>
          <w:numId w:val="1022"/>
        </w:numPr>
      </w:pPr>
      <w:r>
        <w:t xml:space="preserve">Example 2: Response rates dip when messages go out during certain weekdays. Investigation finds customers are busy during working hours, prompting a revised schedule to optimize engagement.</w:t>
      </w:r>
    </w:p>
    <w:p>
      <w:pPr>
        <w:pStyle w:val="FirstParagraph"/>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w:t>
      </w:r>
    </w:p>
    <w:p>
      <w:pPr>
        <w:numPr>
          <w:ilvl w:val="0"/>
          <w:numId w:val="1023"/>
        </w:numPr>
      </w:pPr>
      <w:r>
        <w:t xml:space="preserve">Example 1: Certain departments suffer higher turnover, especially among newer hires lacking career growth. Improvements in onboarding and promotion pathways help retain talent.</w:t>
      </w:r>
    </w:p>
    <w:p>
      <w:pPr>
        <w:numPr>
          <w:ilvl w:val="0"/>
          <w:numId w:val="1023"/>
        </w:numPr>
      </w:pPr>
      <w:r>
        <w:t xml:space="preserve">Example 2: Surveys show higher satisfaction among employees with flexible schedules. In response, leadership expands remote and adjustable work-hour options to boost morale and retention.</w:t>
      </w:r>
    </w:p>
    <w:p>
      <w:pPr>
        <w:pStyle w:val="FirstParagraph"/>
      </w:pPr>
      <w:r>
        <w:t xml:space="preserve">Both examples show how the identification of simple patterns can kick off analyses to decrease turnover and increase job satisfaction.</w:t>
      </w:r>
    </w:p>
    <w:p>
      <w:pPr>
        <w:pStyle w:val="BodyText"/>
      </w:pPr>
      <w:r>
        <w:t xml:space="preserve">Note, all of the examples above are sort of</w:t>
      </w:r>
      <w:r>
        <w:t xml:space="preserve"> </w:t>
      </w:r>
      <w:r>
        <w:t xml:space="preserve">“shortcuts”</w:t>
      </w:r>
      <w:r>
        <w:t xml:space="preserve"> </w:t>
      </w:r>
      <w:r>
        <w:t xml:space="preserve">from looking at rough data patterns to solutions. Of course, as you know from our framework, there are more steps involved to get to the eventual solution.</w:t>
      </w:r>
    </w:p>
    <w:bookmarkEnd w:id="95"/>
    <w:bookmarkEnd w:id="96"/>
    <w:bookmarkStart w:id="184"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By using a systematic approach like our framework,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Or,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to imagine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w:t>
      </w:r>
    </w:p>
    <w:bookmarkEnd w:id="101"/>
    <w:bookmarkStart w:id="164"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(see example</w:t>
      </w:r>
      <w:r>
        <w:t xml:space="preserve"> </w:t>
      </w:r>
      <w:hyperlink w:anchor="sec-identify">
        <w:r>
          <w:rPr>
            <w:rStyle w:val="Hyperlink"/>
          </w:rPr>
          <w:t xml:space="preserve">Section 2.3.2</w:t>
        </w:r>
      </w:hyperlink>
      <w:r>
        <w:t xml:space="preserve">).</w:t>
      </w:r>
    </w:p>
    <w:p>
      <w:pPr>
        <w:pStyle w:val="BodyText"/>
      </w:pPr>
      <w:r>
        <w:t xml:space="preserve">The human brain is wired to process and interpret visual information quickly, and data visualization leverages this natural ability to help us understand complex data more easily.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w:t>
      </w:r>
    </w:p>
    <w:p>
      <w:pPr>
        <w:pStyle w:val="BodyText"/>
      </w:pP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24"/>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24"/>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 We get a quick overview of</w:t>
      </w:r>
      <w:r>
        <w:t xml:space="preserve"> </w:t>
      </w:r>
      <w:r>
        <w:t xml:space="preserve">“what the data looks like,”</w:t>
      </w:r>
      <w:r>
        <w:t xml:space="preserve"> </w:t>
      </w:r>
      <w:r>
        <w:t xml:space="preserve">which helps us make more informed decisions about which advanced methods to use and how to interpret subsequent analyses.</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w:t>
      </w:r>
      <w:r>
        <w:t xml:space="preserve"> </w:t>
      </w:r>
      <w:hyperlink w:anchor="sec-stats">
        <w:r>
          <w:rPr>
            <w:rStyle w:val="Hyperlink"/>
          </w:rPr>
          <w:t xml:space="preserve">Section 3.5.3</w:t>
        </w:r>
      </w:hyperlink>
      <w:r>
        <w:t xml:space="preserve">).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"#CC0000"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"#CC0000"</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"#343A41"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"#CC0000"</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 plot</w:t>
            </w:r>
          </w:p>
          <w:bookmarkEnd w:id="117"/>
        </w:tc>
      </w:tr>
    </w:tbl>
    <w:p>
      <w:pPr>
        <w:numPr>
          <w:ilvl w:val="0"/>
          <w:numId w:val="1025"/>
        </w:numPr>
      </w:pPr>
      <w:r>
        <w:t xml:space="preserve">The box (IQR): The rectangular box captures the middle 50% of the data - what’s called the interquartile range (IQR, see</w:t>
      </w:r>
      <w:r>
        <w:t xml:space="preserve"> </w:t>
      </w:r>
      <w:hyperlink w:anchor="sec-outlier">
        <w:r>
          <w:rPr>
            <w:rStyle w:val="Hyperlink"/>
          </w:rPr>
          <w:t xml:space="preserve">Section 3.5.3.1.4</w:t>
        </w:r>
      </w:hyperlink>
      <w:r>
        <w:t xml:space="preserve">). In this chart, the bottom edge of the box is at 40, which is the 25th percentile (Q1), and the top edge is at 57, the 75th percentile (Q3). Because this box is reasonably large, it indicates there’s a moderate spread among the</w:t>
      </w:r>
      <w:r>
        <w:t xml:space="preserve"> </w:t>
      </w:r>
      <w:r>
        <w:t xml:space="preserve">“central”</w:t>
      </w:r>
      <w:r>
        <w:t xml:space="preserve"> </w:t>
      </w:r>
      <w:r>
        <w:t xml:space="preserve">half of the data (from ages 40 to 57).</w:t>
      </w:r>
    </w:p>
    <w:p>
      <w:pPr>
        <w:numPr>
          <w:ilvl w:val="0"/>
          <w:numId w:val="1025"/>
        </w:numPr>
      </w:pPr>
      <w:r>
        <w:t xml:space="preserve">Median line: The horizontal line inside the box is the median (Q2). Here, it sits at 49, roughly halfway between 40 and 57. Because the median is fairly centered between Q1 and Q3, we can see the central 50% of ages is split somewhat evenly above and below 49.</w:t>
      </w:r>
    </w:p>
    <w:p>
      <w:pPr>
        <w:numPr>
          <w:ilvl w:val="0"/>
          <w:numId w:val="1025"/>
        </w:numPr>
      </w:pPr>
      <w:r>
        <w:t xml:space="preserve">Whiskers: The</w:t>
      </w:r>
      <w:r>
        <w:t xml:space="preserve"> </w:t>
      </w:r>
      <w:r>
        <w:t xml:space="preserve">“whiskers”</w:t>
      </w:r>
      <w:r>
        <w:t xml:space="preserve"> </w:t>
      </w:r>
      <w:r>
        <w:t xml:space="preserve">are those lines extending above and below the box to show the minimum and maximum values that still fall within a typical cut-off (often 1.5 × IQR). In the figure, the lower whisker extends down to 22; the upper whisker extends up to 72. That means any data points above 72 or below 22 are treated as outliers (if they exist).</w:t>
      </w:r>
    </w:p>
    <w:p>
      <w:pPr>
        <w:numPr>
          <w:ilvl w:val="0"/>
          <w:numId w:val="1025"/>
        </w:numPr>
      </w:pPr>
      <w:r>
        <w:t xml:space="preserve">Outliers: Any data point lying outside these whisker boundaries is plotted individually - often as a separate dot or symbol. In this example, there is a single red dot at 13, clearly below the lower whisker. This dot is considered an outlier, meaning it sits well below the rest of the dataset.</w:t>
      </w:r>
    </w:p>
    <w:p>
      <w:pPr>
        <w:numPr>
          <w:ilvl w:val="0"/>
          <w:numId w:val="1025"/>
        </w:numPr>
      </w:pPr>
      <w:r>
        <w:t xml:space="preserve">Possible interpretations: The presence of this outlier at age 13 could be a legitimate value (e.g., an unusual case in your data) or might be a simple data entry error. Seeing only one lower outlier suggests that most ages cluster within 22 to 72, which you might interpret as a reasonably</w:t>
      </w:r>
      <w:r>
        <w:t xml:space="preserve"> </w:t>
      </w:r>
      <w:r>
        <w:t xml:space="preserve">“normal”</w:t>
      </w:r>
      <w:r>
        <w:t xml:space="preserve"> </w:t>
      </w:r>
      <w:r>
        <w:t xml:space="preserve">spread for a particular adult population - aside from that lone point at 13.</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displays categorical data in a circle divided into slices, each slice representing a portion of the whole. The entire circle equals 100% of the data, and each slice’s size corresponds to its category’s share. Pie charts are useful for quickly comparing the relative sizes of categories and spotting the largest or smallest groups.</w:t>
      </w:r>
    </w:p>
    <w:p>
      <w:pPr>
        <w:pStyle w:val="SourceCode"/>
      </w:pPr>
      <w:r>
        <w:rPr>
          <w:rStyle w:val="NormalTok"/>
        </w:rPr>
        <w:t xml:space="preserve">breaks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w:t>
      </w:r>
      <w:r>
        <w:br/>
      </w:r>
      <w:r>
        <w:rPr>
          <w:rStyle w:val="NormalTok"/>
        </w:rPr>
        <w:t xml:space="preserve">labels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w:t>
      </w:r>
      <w:r>
        <w:rPr>
          <w:rStyle w:val="NormalTok"/>
        </w:rPr>
        <w:t xml:space="preserve">, </w:t>
      </w:r>
      <w:r>
        <w:rPr>
          <w:rStyle w:val="FunctionTok"/>
        </w:rPr>
        <w:t xml:space="preserve">head</w:t>
      </w:r>
      <w:r>
        <w:rPr>
          <w:rStyle w:val="NormalTok"/>
        </w:rPr>
        <w:t xml:space="preserve">(breaks, </w:t>
      </w:r>
      <w:r>
        <w:rPr>
          <w:rStyle w:val="SpecialCharTok"/>
        </w:rPr>
        <w:t xml:space="preserve">-</w:t>
      </w:r>
      <w:r>
        <w:rPr>
          <w:rStyle w:val="DecValTok"/>
        </w:rPr>
        <w:t xml:space="preserve">1</w:t>
      </w:r>
      <w:r>
        <w:rPr>
          <w:rStyle w:val="NormalTok"/>
        </w:rPr>
        <w:t xml:space="preserve">), </w:t>
      </w:r>
      <w:r>
        <w:rPr>
          <w:rStyle w:val="StringTok"/>
        </w:rPr>
        <w:t xml:space="preserve">", "</w:t>
      </w:r>
      <w:r>
        <w:rPr>
          <w:rStyle w:val="NormalTok"/>
        </w:rPr>
        <w:t xml:space="preserve">, </w:t>
      </w:r>
      <w:r>
        <w:rPr>
          <w:rStyle w:val="FunctionTok"/>
        </w:rPr>
        <w:t xml:space="preserve">tail</w:t>
      </w:r>
      <w:r>
        <w:rPr>
          <w:rStyle w:val="NormalTok"/>
        </w:rPr>
        <w:t xml:space="preserve">(breaks, </w:t>
      </w:r>
      <w:r>
        <w:rPr>
          <w:rStyle w:val="SpecialCharTok"/>
        </w:rPr>
        <w:t xml:space="preserve">-</w:t>
      </w:r>
      <w:r>
        <w:rPr>
          <w:rStyle w:val="DecValTok"/>
        </w:rPr>
        <w:t xml:space="preserve">1</w:t>
      </w:r>
      <w:r>
        <w:rPr>
          <w:rStyle w:val="NormalTok"/>
        </w:rPr>
        <w:t xml:space="preserve">), </w:t>
      </w:r>
      <w:r>
        <w:rPr>
          <w:rStyle w:val="StringTok"/>
        </w:rPr>
        <w:t xml:space="preserve">")"</w:t>
      </w:r>
      <w:r>
        <w:rPr>
          <w:rStyle w:val="NormalTok"/>
        </w:rPr>
        <w:t xml:space="preserve">)</w:t>
      </w:r>
      <w:r>
        <w:br/>
      </w:r>
      <w:r>
        <w:br/>
      </w:r>
      <w:r>
        <w:rPr>
          <w:rStyle w:val="CommentTok"/>
        </w:rPr>
        <w:t xml:space="preserve"># Use cut with custom labels</w:t>
      </w:r>
      <w:r>
        <w:br/>
      </w: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AttributeTok"/>
        </w:rPr>
        <w:t xml:space="preserve">breaks =</w:t>
      </w:r>
      <w:r>
        <w:rPr>
          <w:rStyle w:val="NormalTok"/>
        </w:rPr>
        <w:t xml:space="preserve"> breaks, </w:t>
      </w:r>
      <w:r>
        <w:rPr>
          <w:rStyle w:val="AttributeTok"/>
        </w:rPr>
        <w:t xml:space="preserve">labels =</w:t>
      </w:r>
      <w:r>
        <w:rPr>
          <w:rStyle w:val="NormalTok"/>
        </w:rPr>
        <w:t xml:space="preserve"> labels,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 chart</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w:t>
      </w:r>
      <w:r>
        <w:rPr>
          <w:rStyle w:val="NormalTok"/>
        </w:rPr>
        <w:t xml:space="preserve">, </w:t>
      </w:r>
      <w:r>
        <w:rPr>
          <w:rStyle w:val="StringTok"/>
        </w:rPr>
        <w:t xml:space="preserve">"Influencer"</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w:t>
      </w:r>
      <w:r>
        <w:rPr>
          <w:rStyle w:val="AttributeTok"/>
        </w:rPr>
        <w:t xml:space="preserve">prefix =</w:t>
      </w:r>
      <w:r>
        <w:rPr>
          <w:rStyle w:val="NormalTok"/>
        </w:rPr>
        <w:t xml:space="preserve"> </w:t>
      </w:r>
      <w:r>
        <w:rPr>
          <w:rStyle w:val="StringTok"/>
        </w:rPr>
        <w:t xml:space="preserve">"€"</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vertical orientation, with the latter usually called a column chart (see also</w:t>
      </w:r>
      <w:r>
        <w:t xml:space="preserve"> </w:t>
      </w:r>
      <w:hyperlink w:anchor="sec-change">
        <w:r>
          <w:rPr>
            <w:rStyle w:val="Hyperlink"/>
          </w:rPr>
          <w:t xml:space="preserve">Section 3.5.2.5</w:t>
        </w:r>
      </w:hyperlink>
      <w:r>
        <w:t xml:space="preserve">).</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"ok"</w:t>
      </w:r>
      <w:r>
        <w:rPr>
          <w:rStyle w:val="NormalTok"/>
        </w:rPr>
        <w:t xml:space="preserve"> </w:t>
      </w:r>
      <w:r>
        <w:rPr>
          <w:rStyle w:val="OtherTok"/>
        </w:rPr>
        <w:t xml:space="preserve">=</w:t>
      </w:r>
      <w:r>
        <w:rPr>
          <w:rStyle w:val="NormalTok"/>
        </w:rPr>
        <w:t xml:space="preserve"> </w:t>
      </w:r>
      <w:r>
        <w:rPr>
          <w:rStyle w:val="StringTok"/>
        </w:rPr>
        <w:t xml:space="preserve">"#3082BD"</w:t>
      </w:r>
      <w:r>
        <w:rPr>
          <w:rStyle w:val="NormalTok"/>
        </w:rPr>
        <w:t xml:space="preserve">, </w:t>
      </w:r>
      <w:r>
        <w:rPr>
          <w:rStyle w:val="StringTok"/>
        </w:rPr>
        <w:t xml:space="preserve">"bad"</w:t>
      </w:r>
      <w:r>
        <w:rPr>
          <w:rStyle w:val="NormalTok"/>
        </w:rPr>
        <w:t xml:space="preserve"> </w:t>
      </w:r>
      <w:r>
        <w:rPr>
          <w:rStyle w:val="OtherTok"/>
        </w:rPr>
        <w:t xml:space="preserve">=</w:t>
      </w:r>
      <w:r>
        <w:rPr>
          <w:rStyle w:val="NormalTok"/>
        </w:rPr>
        <w:t xml:space="preserve"> </w:t>
      </w:r>
      <w:r>
        <w:rPr>
          <w:rStyle w:val="StringTok"/>
        </w:rPr>
        <w:t xml:space="preserve">"#CC0000"</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AttributeTok"/>
        </w:rPr>
        <w:t xml:space="preserve">family=</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 chart</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obvious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"#9ECAE2"</w:t>
      </w:r>
      <w:r>
        <w:rPr>
          <w:rStyle w:val="NormalTok"/>
        </w:rPr>
        <w:t xml:space="preserve">, </w:t>
      </w:r>
      <w:r>
        <w:rPr>
          <w:rStyle w:val="StringTok"/>
        </w:rPr>
        <w:t xml:space="preserve">"#07306B"</w:t>
      </w:r>
      <w:r>
        <w:rPr>
          <w:rStyle w:val="NormalTok"/>
        </w:rPr>
        <w:t xml:space="preserve">, </w:t>
      </w:r>
      <w:r>
        <w:rPr>
          <w:rStyle w:val="StringTok"/>
        </w:rPr>
        <w:t xml:space="preserve">"#3082BD"</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  </w:t>
      </w:r>
      <w:r>
        <w:rPr>
          <w:rStyle w:val="AttributeTok"/>
        </w:rPr>
        <w:t xml:space="preserve">legend.text.size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axis.label.size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grid.label.size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font.radar =</w:t>
      </w:r>
      <w:r>
        <w:rPr>
          <w:rStyle w:val="NormalTok"/>
        </w:rPr>
        <w:t xml:space="preserve"> </w:t>
      </w:r>
      <w:r>
        <w:rPr>
          <w:rStyle w:val="StringTok"/>
        </w:rPr>
        <w:t xml:space="preserve">"Roboto"</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 chart</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order may provide a signal for you to review the quality of the data (see also</w:t>
      </w:r>
      <w:r>
        <w:t xml:space="preserve"> </w:t>
      </w:r>
      <w:hyperlink w:anchor="sec-chall">
        <w:r>
          <w:rPr>
            <w:rStyle w:val="Hyperlink"/>
          </w:rPr>
          <w:t xml:space="preserve">Section 3.6</w:t>
        </w:r>
      </w:hyperlink>
      <w:r>
        <w:t xml:space="preserve">).</w:t>
      </w:r>
    </w:p>
    <w:bookmarkEnd w:id="136"/>
    <w:bookmarkStart w:id="145"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tbl>
      <w:tblPr>
        <w:tblStyle w:val="Table"/>
        <w:tblW w:type="pct" w:w="5000"/>
        <w:tblLayout w:type="fixed"/>
        <w:tblLook w:firstRow="0" w:lastRow="0" w:firstColumn="0" w:lastColumn="0" w:noHBand="0" w:noVBand="0" w:val="0000"/>
      </w:tblPr>
      <w:tblGrid>
        <w:gridCol w:w="7920"/>
      </w:tblGrid>
      <w:tr>
        <w:tc>
          <w:tcPr/>
          <w:bookmarkStart w:id="140" w:name="fig-c2-radar-static"/>
          <w:p>
            <w:pPr>
              <w:pStyle w:val="Compact"/>
              <w:jc w:val="center"/>
            </w:pPr>
            <w:r>
              <w:drawing>
                <wp:inline>
                  <wp:extent cx="5334000" cy="2881972"/>
                  <wp:effectExtent b="0" l="0" r="0" t="0"/>
                  <wp:docPr descr=""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81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Bubble chart</w:t>
            </w:r>
          </w:p>
          <w:bookmarkEnd w:id="140"/>
        </w:tc>
      </w:tr>
    </w:tbl>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tbl>
      <w:tblPr>
        <w:tblStyle w:val="Table"/>
        <w:tblW w:type="pct" w:w="5000"/>
        <w:tblLayout w:type="fixed"/>
        <w:tblLook w:firstRow="0" w:lastRow="0" w:firstColumn="0" w:lastColumn="0" w:noHBand="0" w:noVBand="0" w:val="0000"/>
      </w:tblPr>
      <w:tblGrid>
        <w:gridCol w:w="7920"/>
      </w:tblGrid>
      <w:tr>
        <w:tc>
          <w:tcPr/>
          <w:bookmarkStart w:id="144" w:name="fig-c2-radar-static"/>
          <w:p>
            <w:pPr>
              <w:pStyle w:val="Compact"/>
              <w:jc w:val="center"/>
            </w:pPr>
            <w:r>
              <w:drawing>
                <wp:inline>
                  <wp:extent cx="5334000" cy="2620536"/>
                  <wp:effectExtent b="0" l="0" r="0" t="0"/>
                  <wp:docPr descr="" title="" id="142" name="Picture"/>
                  <a:graphic>
                    <a:graphicData uri="http://schemas.openxmlformats.org/drawingml/2006/picture">
                      <pic:pic>
                        <pic:nvPicPr>
                          <pic:cNvPr descr="pics/C2/scattercluster.png" id="143" name="Picture"/>
                          <pic:cNvPicPr>
                            <a:picLocks noChangeArrowheads="1" noChangeAspect="1"/>
                          </pic:cNvPicPr>
                        </pic:nvPicPr>
                        <pic:blipFill>
                          <a:blip r:embed="rId141"/>
                          <a:stretch>
                            <a:fillRect/>
                          </a:stretch>
                        </pic:blipFill>
                        <pic:spPr bwMode="auto">
                          <a:xfrm>
                            <a:off x="0" y="0"/>
                            <a:ext cx="5334000" cy="26205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Scatter plot</w:t>
            </w:r>
          </w:p>
          <w:bookmarkEnd w:id="144"/>
        </w:tc>
      </w:tr>
    </w:tbl>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5"/>
    <w:bookmarkStart w:id="154" w:name="sec-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tbl>
      <w:tblPr>
        <w:tblStyle w:val="Table"/>
        <w:tblW w:type="pct" w:w="5000"/>
        <w:tblLayout w:type="fixed"/>
        <w:tblLook w:firstRow="0" w:lastRow="0" w:firstColumn="0" w:lastColumn="0" w:noHBand="0" w:noVBand="0" w:val="0000"/>
      </w:tblPr>
      <w:tblGrid>
        <w:gridCol w:w="7920"/>
      </w:tblGrid>
      <w:tr>
        <w:tc>
          <w:tcPr/>
          <w:bookmarkStart w:id="149" w:name="fig-c2-radar-static"/>
          <w:p>
            <w:pPr>
              <w:pStyle w:val="Compact"/>
              <w:jc w:val="center"/>
            </w:pPr>
            <w:r>
              <w:drawing>
                <wp:inline>
                  <wp:extent cx="5334000" cy="3184277"/>
                  <wp:effectExtent b="0" l="0" r="0" t="0"/>
                  <wp:docPr descr="" title="" id="147" name="Picture"/>
                  <a:graphic>
                    <a:graphicData uri="http://schemas.openxmlformats.org/drawingml/2006/picture">
                      <pic:pic>
                        <pic:nvPicPr>
                          <pic:cNvPr descr="pics/C2/line.png" id="148" name="Picture"/>
                          <pic:cNvPicPr>
                            <a:picLocks noChangeArrowheads="1" noChangeAspect="1"/>
                          </pic:cNvPicPr>
                        </pic:nvPicPr>
                        <pic:blipFill>
                          <a:blip r:embed="rId146"/>
                          <a:stretch>
                            <a:fillRect/>
                          </a:stretch>
                        </pic:blipFill>
                        <pic:spPr bwMode="auto">
                          <a:xfrm>
                            <a:off x="0" y="0"/>
                            <a:ext cx="5334000" cy="31842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Line graph</w:t>
            </w:r>
          </w:p>
          <w:bookmarkEnd w:id="149"/>
        </w:tc>
      </w:tr>
    </w:tbl>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tbl>
      <w:tblPr>
        <w:tblStyle w:val="Table"/>
        <w:tblW w:type="pct" w:w="5000"/>
        <w:tblLayout w:type="fixed"/>
        <w:tblLook w:firstRow="0" w:lastRow="0" w:firstColumn="0" w:lastColumn="0" w:noHBand="0" w:noVBand="0" w:val="0000"/>
      </w:tblPr>
      <w:tblGrid>
        <w:gridCol w:w="7920"/>
      </w:tblGrid>
      <w:tr>
        <w:tc>
          <w:tcPr/>
          <w:bookmarkStart w:id="153" w:name="fig-c2-radar-static"/>
          <w:p>
            <w:pPr>
              <w:pStyle w:val="Compact"/>
              <w:jc w:val="center"/>
            </w:pPr>
            <w:r>
              <w:drawing>
                <wp:inline>
                  <wp:extent cx="5334000" cy="2710831"/>
                  <wp:effectExtent b="0" l="0" r="0" t="0"/>
                  <wp:docPr descr="" title="" id="151" name="Picture"/>
                  <a:graphic>
                    <a:graphicData uri="http://schemas.openxmlformats.org/drawingml/2006/picture">
                      <pic:pic>
                        <pic:nvPicPr>
                          <pic:cNvPr descr="pics/C2/columnchart.png" id="152" name="Picture"/>
                          <pic:cNvPicPr>
                            <a:picLocks noChangeArrowheads="1" noChangeAspect="1"/>
                          </pic:cNvPicPr>
                        </pic:nvPicPr>
                        <pic:blipFill>
                          <a:blip r:embed="rId150"/>
                          <a:stretch>
                            <a:fillRect/>
                          </a:stretch>
                        </pic:blipFill>
                        <pic:spPr bwMode="auto">
                          <a:xfrm>
                            <a:off x="0" y="0"/>
                            <a:ext cx="5334000" cy="27108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Column chart</w:t>
            </w:r>
          </w:p>
          <w:bookmarkEnd w:id="153"/>
        </w:tc>
      </w:tr>
    </w:tbl>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4"/>
    <w:bookmarkStart w:id="163"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tbl>
      <w:tblPr>
        <w:tblStyle w:val="Table"/>
        <w:tblW w:type="pct" w:w="5000"/>
        <w:tblLayout w:type="fixed"/>
        <w:tblLook w:firstRow="0" w:lastRow="0" w:firstColumn="0" w:lastColumn="0" w:noHBand="0" w:noVBand="0" w:val="0000"/>
      </w:tblPr>
      <w:tblGrid>
        <w:gridCol w:w="7920"/>
      </w:tblGrid>
      <w:tr>
        <w:tc>
          <w:tcPr/>
          <w:bookmarkStart w:id="158" w:name="fig-c2-radar-static"/>
          <w:p>
            <w:pPr>
              <w:pStyle w:val="Compact"/>
              <w:jc w:val="center"/>
            </w:pPr>
            <w:r>
              <w:drawing>
                <wp:inline>
                  <wp:extent cx="5334000" cy="2986019"/>
                  <wp:effectExtent b="0" l="0" r="0" t="0"/>
                  <wp:docPr descr="" title="" id="156" name="Picture"/>
                  <a:graphic>
                    <a:graphicData uri="http://schemas.openxmlformats.org/drawingml/2006/picture">
                      <pic:pic>
                        <pic:nvPicPr>
                          <pic:cNvPr descr="pics/C2/corrscp2.png" id="157" name="Picture"/>
                          <pic:cNvPicPr>
                            <a:picLocks noChangeArrowheads="1" noChangeAspect="1"/>
                          </pic:cNvPicPr>
                        </pic:nvPicPr>
                        <pic:blipFill>
                          <a:blip r:embed="rId155"/>
                          <a:stretch>
                            <a:fillRect/>
                          </a:stretch>
                        </pic:blipFill>
                        <pic:spPr bwMode="auto">
                          <a:xfrm>
                            <a:off x="0" y="0"/>
                            <a:ext cx="5334000" cy="29860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Scatter plot</w:t>
            </w:r>
          </w:p>
          <w:bookmarkEnd w:id="1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2" w:name="fig-c2-radar-static"/>
          <w:p>
            <w:pPr>
              <w:pStyle w:val="Compact"/>
              <w:jc w:val="center"/>
            </w:pPr>
            <w:r>
              <w:drawing>
                <wp:inline>
                  <wp:extent cx="5334000" cy="3032104"/>
                  <wp:effectExtent b="0" l="0" r="0" t="0"/>
                  <wp:docPr descr="" title="" id="160" name="Picture"/>
                  <a:graphic>
                    <a:graphicData uri="http://schemas.openxmlformats.org/drawingml/2006/picture">
                      <pic:pic>
                        <pic:nvPicPr>
                          <pic:cNvPr descr="pics/C2/corrscp1.png" id="161" name="Picture"/>
                          <pic:cNvPicPr>
                            <a:picLocks noChangeArrowheads="1" noChangeAspect="1"/>
                          </pic:cNvPicPr>
                        </pic:nvPicPr>
                        <pic:blipFill>
                          <a:blip r:embed="rId159"/>
                          <a:stretch>
                            <a:fillRect/>
                          </a:stretch>
                        </pic:blipFill>
                        <pic:spPr bwMode="auto">
                          <a:xfrm>
                            <a:off x="0" y="0"/>
                            <a:ext cx="5334000" cy="30321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Scatter plot</w:t>
            </w:r>
          </w:p>
          <w:bookmarkEnd w:id="162"/>
        </w:tc>
      </w:tr>
    </w:tbl>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63"/>
    <w:bookmarkEnd w:id="164"/>
    <w:bookmarkStart w:id="183" w:name="sec-stats"/>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a great approach to start the analysis process, eventually we also want to</w:t>
      </w:r>
      <w:r>
        <w:t xml:space="preserve"> </w:t>
      </w:r>
      <w:r>
        <w:t xml:space="preserve">“crunch”</w:t>
      </w:r>
      <w:r>
        <w:t xml:space="preserve"> </w:t>
      </w:r>
      <w:r>
        <w:t xml:space="preserve">the numbers.</w:t>
      </w:r>
    </w:p>
    <w:bookmarkStart w:id="177" w:name="descriptive-statistics"/>
    <w:p>
      <w:pPr>
        <w:pStyle w:val="Heading4"/>
      </w:pPr>
      <w:r>
        <w:t xml:space="preserve">3.5.3.1 Descriptive statistics</w:t>
      </w:r>
    </w:p>
    <w:bookmarkStart w:id="165"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65"/>
    <w:bookmarkStart w:id="166"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66"/>
    <w:bookmarkStart w:id="175"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tbl>
      <w:tblPr>
        <w:tblStyle w:val="Table"/>
        <w:tblW w:type="pct" w:w="5000"/>
        <w:tblLayout w:type="fixed"/>
        <w:tblLook w:firstRow="0" w:lastRow="0" w:firstColumn="0" w:lastColumn="0" w:noHBand="0" w:noVBand="0" w:val="0000"/>
      </w:tblPr>
      <w:tblGrid>
        <w:gridCol w:w="7920"/>
      </w:tblGrid>
      <w:tr>
        <w:tc>
          <w:tcPr/>
          <w:bookmarkStart w:id="170" w:name="fig-c2-radar-static"/>
          <w:p>
            <w:pPr>
              <w:pStyle w:val="Compact"/>
              <w:jc w:val="center"/>
            </w:pPr>
            <w:r>
              <w:drawing>
                <wp:inline>
                  <wp:extent cx="5334000" cy="2278712"/>
                  <wp:effectExtent b="0" l="0" r="0" t="0"/>
                  <wp:docPr descr="" title="" id="168" name="Picture"/>
                  <a:graphic>
                    <a:graphicData uri="http://schemas.openxmlformats.org/drawingml/2006/picture">
                      <pic:pic>
                        <pic:nvPicPr>
                          <pic:cNvPr descr="pics/C2/skewness.png" id="169" name="Picture"/>
                          <pic:cNvPicPr>
                            <a:picLocks noChangeArrowheads="1" noChangeAspect="1"/>
                          </pic:cNvPicPr>
                        </pic:nvPicPr>
                        <pic:blipFill>
                          <a:blip r:embed="rId167"/>
                          <a:stretch>
                            <a:fillRect/>
                          </a:stretch>
                        </pic:blipFill>
                        <pic:spPr bwMode="auto">
                          <a:xfrm>
                            <a:off x="0" y="0"/>
                            <a:ext cx="5334000" cy="22787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3.16: Skewness</w:t>
            </w:r>
          </w:p>
          <w:bookmarkEnd w:id="170"/>
        </w:tc>
      </w:tr>
    </w:tbl>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26"/>
        </w:numPr>
      </w:pPr>
      <w:r>
        <w:t xml:space="preserve">Calculate the mean (μ) of the dataset:</w:t>
      </w:r>
      <w:r>
        <w:t xml:space="preserve"> </w:t>
      </w:r>
      <w:r>
        <w:t xml:space="preserve">μ = (2 + 4 + 4 + 4 + 6 + 6 + 6 + 8 + 10) / 9 ≈ 5.33</w:t>
      </w:r>
    </w:p>
    <w:p>
      <w:pPr>
        <w:numPr>
          <w:ilvl w:val="0"/>
          <w:numId w:val="1026"/>
        </w:numPr>
      </w:pPr>
      <w:r>
        <w:t xml:space="preserve">Calculate the median of the dataset:</w:t>
      </w:r>
      <w:r>
        <w:t xml:space="preserve"> </w:t>
      </w:r>
      <w:r>
        <w:t xml:space="preserve">Since the dataset is ordered, the median is the middle value: Median = 6</w:t>
      </w:r>
    </w:p>
    <w:p>
      <w:pPr>
        <w:numPr>
          <w:ilvl w:val="0"/>
          <w:numId w:val="1026"/>
        </w:numPr>
      </w:pPr>
      <w:r>
        <w:t xml:space="preserve">Calculate the standard deviation (σ) of the dataset:</w:t>
      </w:r>
      <w:r>
        <w:t xml:space="preserve"> </w:t>
      </w:r>
      <w:r>
        <w:t xml:space="preserve">σ ≈ 2.29 (calculated using standard deviation formula)</w:t>
      </w:r>
    </w:p>
    <w:p>
      <w:pPr>
        <w:numPr>
          <w:ilvl w:val="0"/>
          <w:numId w:val="1026"/>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tbl>
      <w:tblPr>
        <w:tblStyle w:val="Table"/>
        <w:tblW w:type="pct" w:w="5000"/>
        <w:tblLayout w:type="fixed"/>
        <w:tblLook w:firstRow="0" w:lastRow="0" w:firstColumn="0" w:lastColumn="0" w:noHBand="0" w:noVBand="0" w:val="0000"/>
      </w:tblPr>
      <w:tblGrid>
        <w:gridCol w:w="7920"/>
      </w:tblGrid>
      <w:tr>
        <w:tc>
          <w:tcPr/>
          <w:bookmarkStart w:id="174" w:name="fig-c2-radar-static"/>
          <w:p>
            <w:pPr>
              <w:pStyle w:val="Compact"/>
              <w:jc w:val="center"/>
            </w:pPr>
            <w:r>
              <w:drawing>
                <wp:inline>
                  <wp:extent cx="5073161" cy="2857500"/>
                  <wp:effectExtent b="0" l="0" r="0" t="0"/>
                  <wp:docPr descr="" title="" id="172" name="Picture"/>
                  <a:graphic>
                    <a:graphicData uri="http://schemas.openxmlformats.org/drawingml/2006/picture">
                      <pic:pic>
                        <pic:nvPicPr>
                          <pic:cNvPr descr="pics/C2/kurtosis.png" id="173" name="Picture"/>
                          <pic:cNvPicPr>
                            <a:picLocks noChangeArrowheads="1" noChangeAspect="1"/>
                          </pic:cNvPicPr>
                        </pic:nvPicPr>
                        <pic:blipFill>
                          <a:blip r:embed="rId171"/>
                          <a:stretch>
                            <a:fillRect/>
                          </a:stretch>
                        </pic:blipFill>
                        <pic:spPr bwMode="auto">
                          <a:xfrm>
                            <a:off x="0" y="0"/>
                            <a:ext cx="5073161"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Kurtosis</w:t>
            </w:r>
          </w:p>
          <w:bookmarkEnd w:id="174"/>
        </w:tc>
      </w:tr>
    </w:tbl>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75"/>
    <w:bookmarkStart w:id="176" w:name="sec-outlier"/>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27"/>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27"/>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27"/>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28"/>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28"/>
        </w:numPr>
      </w:pPr>
      <w:r>
        <w:t xml:space="preserve">Compute the interquartile range (IQR) using the formula: IQR = Q3 - Q1.</w:t>
      </w:r>
      <w:r>
        <w:t xml:space="preserve"> </w:t>
      </w:r>
      <w:r>
        <w:t xml:space="preserve">IQR = Q3 - Q1 = 34 - 26 = 8</w:t>
      </w:r>
    </w:p>
    <w:p>
      <w:pPr>
        <w:numPr>
          <w:ilvl w:val="0"/>
          <w:numId w:val="1028"/>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28"/>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76"/>
    <w:bookmarkEnd w:id="177"/>
    <w:bookmarkStart w:id="182" w:name="correlation-analysis"/>
    <w:p>
      <w:pPr>
        <w:pStyle w:val="Heading4"/>
      </w:pPr>
      <w:r>
        <w:t xml:space="preserve">3.5.3.2 Correlation analysis</w:t>
      </w:r>
    </w:p>
    <w:p>
      <w:pPr>
        <w:pStyle w:val="FirstParagraph"/>
      </w:pPr>
      <w:r>
        <w:t xml:space="preserve">While correlations can be depicted visually, a correlation can also be measured statistically,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tbl>
      <w:tblPr>
        <w:tblStyle w:val="Table"/>
        <w:tblW w:type="pct" w:w="5000"/>
        <w:tblLayout w:type="fixed"/>
        <w:tblLook w:firstRow="0" w:lastRow="0" w:firstColumn="0" w:lastColumn="0" w:noHBand="0" w:noVBand="0" w:val="0000"/>
      </w:tblPr>
      <w:tblGrid>
        <w:gridCol w:w="7920"/>
      </w:tblGrid>
      <w:tr>
        <w:tc>
          <w:tcPr/>
          <w:bookmarkStart w:id="181" w:name="tbl-summary"/>
          <w:p>
            <w:pPr>
              <w:jc w:val="center"/>
            </w:pPr>
            <w:pPr>
              <w:jc w:val="start"/>
              <w:spacing w:before="200"/>
              <w:pStyle w:val="ImageCaption"/>
            </w:pPr>
            <w:r>
              <w:t xml:space="preserve">Table 3.1: Correlation coefficient</w:t>
            </w:r>
          </w:p>
          <w:p>
            <w:pPr>
              <w:pStyle w:val="Compact"/>
              <w:jc w:val="center"/>
            </w:pPr>
            <w:r>
              <w:drawing>
                <wp:inline>
                  <wp:extent cx="5334000" cy="2998647"/>
                  <wp:effectExtent b="0" l="0" r="0" t="0"/>
                  <wp:docPr descr="" title="" id="179" name="Picture"/>
                  <a:graphic>
                    <a:graphicData uri="http://schemas.openxmlformats.org/drawingml/2006/picture">
                      <pic:pic>
                        <pic:nvPicPr>
                          <pic:cNvPr descr="pics/C2/corrcoeff.png" id="180" name="Picture"/>
                          <pic:cNvPicPr>
                            <a:picLocks noChangeArrowheads="1" noChangeAspect="1"/>
                          </pic:cNvPicPr>
                        </pic:nvPicPr>
                        <pic:blipFill>
                          <a:blip r:embed="rId178"/>
                          <a:stretch>
                            <a:fillRect/>
                          </a:stretch>
                        </pic:blipFill>
                        <pic:spPr bwMode="auto">
                          <a:xfrm>
                            <a:off x="0" y="0"/>
                            <a:ext cx="5334000" cy="2998647"/>
                          </a:xfrm>
                          <a:prstGeom prst="rect">
                            <a:avLst/>
                          </a:prstGeom>
                          <a:noFill/>
                          <a:ln w="9525">
                            <a:noFill/>
                            <a:headEnd/>
                            <a:tailEnd/>
                          </a:ln>
                        </pic:spPr>
                      </pic:pic>
                    </a:graphicData>
                  </a:graphic>
                </wp:inline>
              </w:drawing>
            </w:r>
          </w:p>
          <w:bookmarkEnd w:id="181"/>
        </w:tc>
      </w:tr>
    </w:tbl>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9"/>
        </w:numPr>
      </w:pPr>
      <w:r>
        <w:t xml:space="preserve">r = 0: No linear relationship between the variables.</w:t>
      </w:r>
    </w:p>
    <w:p>
      <w:pPr>
        <w:pStyle w:val="Compact"/>
        <w:numPr>
          <w:ilvl w:val="0"/>
          <w:numId w:val="1029"/>
        </w:numPr>
      </w:pPr>
      <w:r>
        <w:t xml:space="preserve">0 &lt; |r| &lt; 0.3: A weak or negligible linear relationship.</w:t>
      </w:r>
    </w:p>
    <w:p>
      <w:pPr>
        <w:pStyle w:val="Compact"/>
        <w:numPr>
          <w:ilvl w:val="0"/>
          <w:numId w:val="1029"/>
        </w:numPr>
      </w:pPr>
      <w:r>
        <w:t xml:space="preserve">0.3 ≤ |r| &lt; 0.5: A moderate linear relationship.</w:t>
      </w:r>
    </w:p>
    <w:p>
      <w:pPr>
        <w:pStyle w:val="Compact"/>
        <w:numPr>
          <w:ilvl w:val="0"/>
          <w:numId w:val="1029"/>
        </w:numPr>
      </w:pPr>
      <w:r>
        <w:t xml:space="preserve">0.5 ≤ |r| &lt; 0.7: A strong linear relationship.</w:t>
      </w:r>
    </w:p>
    <w:p>
      <w:pPr>
        <w:pStyle w:val="Compact"/>
        <w:numPr>
          <w:ilvl w:val="0"/>
          <w:numId w:val="1029"/>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are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82"/>
    <w:bookmarkEnd w:id="183"/>
    <w:bookmarkEnd w:id="184"/>
    <w:bookmarkStart w:id="196" w:name="sec-chall"/>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89"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tbl>
      <w:tblPr>
        <w:tblStyle w:val="Table"/>
        <w:tblW w:type="pct" w:w="5000"/>
        <w:tblLayout w:type="fixed"/>
        <w:tblLook w:firstRow="0" w:lastRow="0" w:firstColumn="0" w:lastColumn="0" w:noHBand="0" w:noVBand="0" w:val="0000"/>
      </w:tblPr>
      <w:tblGrid>
        <w:gridCol w:w="7920"/>
      </w:tblGrid>
      <w:tr>
        <w:tc>
          <w:tcPr/>
          <w:bookmarkStart w:id="188" w:name="fig-c2-radar-static"/>
          <w:p>
            <w:pPr>
              <w:pStyle w:val="Compact"/>
              <w:jc w:val="center"/>
            </w:pPr>
            <w:r>
              <w:drawing>
                <wp:inline>
                  <wp:extent cx="5334000" cy="1480064"/>
                  <wp:effectExtent b="0" l="0" r="0" t="0"/>
                  <wp:docPr descr="" title="" id="186" name="Picture"/>
                  <a:graphic>
                    <a:graphicData uri="http://schemas.openxmlformats.org/drawingml/2006/picture">
                      <pic:pic>
                        <pic:nvPicPr>
                          <pic:cNvPr descr="pics/C2/pvf.png" id="187" name="Picture"/>
                          <pic:cNvPicPr>
                            <a:picLocks noChangeArrowheads="1" noChangeAspect="1"/>
                          </pic:cNvPicPr>
                        </pic:nvPicPr>
                        <pic:blipFill>
                          <a:blip r:embed="rId185"/>
                          <a:stretch>
                            <a:fillRect/>
                          </a:stretch>
                        </pic:blipFill>
                        <pic:spPr bwMode="auto">
                          <a:xfrm>
                            <a:off x="0" y="0"/>
                            <a:ext cx="5334000" cy="14800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Predictive validity framework</w:t>
            </w:r>
          </w:p>
          <w:bookmarkEnd w:id="188"/>
        </w:tc>
      </w:tr>
    </w:tbl>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89"/>
    <w:bookmarkStart w:id="19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90"/>
    <w:bookmarkStart w:id="19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 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91"/>
    <w:bookmarkStart w:id="19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92"/>
    <w:bookmarkStart w:id="19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or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93"/>
    <w:bookmarkStart w:id="19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94"/>
    <w:bookmarkStart w:id="19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95"/>
    <w:bookmarkEnd w:id="196"/>
    <w:bookmarkEnd w:id="197"/>
    <w:bookmarkStart w:id="261" w:name="sec-diag"/>
    <w:p>
      <w:pPr>
        <w:pStyle w:val="Heading1"/>
      </w:pPr>
      <w:r>
        <w:t xml:space="preserve">4. Diagnostic Analytics</w:t>
      </w:r>
    </w:p>
    <w:bookmarkStart w:id="198" w:name="learning-goals-2"/>
    <w:p>
      <w:pPr>
        <w:pStyle w:val="Heading2"/>
      </w:pPr>
      <w:r>
        <w:t xml:space="preserve">4.1 Learning goals</w:t>
      </w:r>
    </w:p>
    <w:p>
      <w:pPr>
        <w:pStyle w:val="Compact"/>
        <w:numPr>
          <w:ilvl w:val="0"/>
          <w:numId w:val="1030"/>
        </w:numPr>
      </w:pPr>
      <w:r>
        <w:t xml:space="preserve">Critically analyze identified data patterns</w:t>
      </w:r>
    </w:p>
    <w:p>
      <w:pPr>
        <w:pStyle w:val="Compact"/>
        <w:numPr>
          <w:ilvl w:val="0"/>
          <w:numId w:val="1030"/>
        </w:numPr>
      </w:pPr>
      <w:r>
        <w:t xml:space="preserve">Evaluate the association between important decision variables</w:t>
      </w:r>
    </w:p>
    <w:p>
      <w:pPr>
        <w:pStyle w:val="Compact"/>
        <w:numPr>
          <w:ilvl w:val="0"/>
          <w:numId w:val="1030"/>
        </w:numPr>
      </w:pPr>
      <w:r>
        <w:t xml:space="preserve">Evaluate business decisions and refine critical assumptions to improve decision-making by using advanced methods to analyze business data</w:t>
      </w:r>
    </w:p>
    <w:bookmarkEnd w:id="198"/>
    <w:bookmarkStart w:id="19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99"/>
    <w:bookmarkStart w:id="20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20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200"/>
    <w:bookmarkEnd w:id="201"/>
    <w:bookmarkStart w:id="21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205" w:name="fig-MM1"/>
          <w:p>
            <w:pPr>
              <w:pStyle w:val="Compact"/>
              <w:jc w:val="center"/>
            </w:pPr>
            <w:r>
              <w:drawing>
                <wp:inline>
                  <wp:extent cx="4633047" cy="3810000"/>
                  <wp:effectExtent b="0" l="0" r="0" t="0"/>
                  <wp:docPr descr="" title="" id="203" name="Picture"/>
                  <a:graphic>
                    <a:graphicData uri="http://schemas.openxmlformats.org/drawingml/2006/picture">
                      <pic:pic>
                        <pic:nvPicPr>
                          <pic:cNvPr descr="pics/C4/causal%20mental%20model.png" id="204" name="Picture"/>
                          <pic:cNvPicPr>
                            <a:picLocks noChangeArrowheads="1" noChangeAspect="1"/>
                          </pic:cNvPicPr>
                        </pic:nvPicPr>
                        <pic:blipFill>
                          <a:blip r:embed="rId20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20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31"/>
        </w:numPr>
      </w:pPr>
      <w:r>
        <w:t xml:space="preserve">Quality of customer support is negatively associated with customer churn (because better customer support quality makes customers happy, and they are less likely to leave).</w:t>
      </w:r>
    </w:p>
    <w:p>
      <w:pPr>
        <w:numPr>
          <w:ilvl w:val="0"/>
          <w:numId w:val="1031"/>
        </w:numPr>
      </w:pPr>
      <w:r>
        <w:t xml:space="preserve">Product quality is negatively associated with customer churn (because higher product quality makes customers happy, and they are less likely to leave).</w:t>
      </w:r>
    </w:p>
    <w:p>
      <w:pPr>
        <w:numPr>
          <w:ilvl w:val="0"/>
          <w:numId w:val="1031"/>
        </w:numPr>
      </w:pPr>
      <w:r>
        <w:t xml:space="preserve">Competitor offerings are positively associated with customer churn (because interesting offers from competitors might trigger our customers to switch to our competitors).</w:t>
      </w:r>
    </w:p>
    <w:p>
      <w:pPr>
        <w:numPr>
          <w:ilvl w:val="0"/>
          <w:numId w:val="1031"/>
        </w:numPr>
      </w:pPr>
      <w:r>
        <w:t xml:space="preserve">Price is positively associated with customer churn (because customers do not like to pay more, and they are more likely to leave).</w:t>
      </w:r>
    </w:p>
    <w:p>
      <w:pPr>
        <w:numPr>
          <w:ilvl w:val="0"/>
          <w:numId w:val="1031"/>
        </w:numPr>
      </w:pPr>
      <w:r>
        <w:t xml:space="preserve">Product quality is positively associated with price (because higher quality is usually costly, sales prices need to be higher as well).</w:t>
      </w:r>
    </w:p>
    <w:p>
      <w:pPr>
        <w:numPr>
          <w:ilvl w:val="0"/>
          <w:numId w:val="1031"/>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209" w:name="fig-MM2"/>
          <w:p>
            <w:pPr>
              <w:pStyle w:val="Compact"/>
              <w:jc w:val="center"/>
            </w:pPr>
            <w:r>
              <w:drawing>
                <wp:inline>
                  <wp:extent cx="5325340" cy="3333750"/>
                  <wp:effectExtent b="0" l="0" r="0" t="0"/>
                  <wp:docPr descr="" title="" id="207" name="Picture"/>
                  <a:graphic>
                    <a:graphicData uri="http://schemas.openxmlformats.org/drawingml/2006/picture">
                      <pic:pic>
                        <pic:nvPicPr>
                          <pic:cNvPr descr="pics/C4/mental%20model.png" id="208" name="Picture"/>
                          <pic:cNvPicPr>
                            <a:picLocks noChangeArrowheads="1" noChangeAspect="1"/>
                          </pic:cNvPicPr>
                        </pic:nvPicPr>
                        <pic:blipFill>
                          <a:blip r:embed="rId20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20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10"/>
    <w:bookmarkStart w:id="21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14" w:name="fig-rand1"/>
          <w:p>
            <w:pPr>
              <w:pStyle w:val="Compact"/>
              <w:jc w:val="center"/>
            </w:pPr>
            <w:r>
              <w:drawing>
                <wp:inline>
                  <wp:extent cx="4572000" cy="4572000"/>
                  <wp:effectExtent b="0" l="0" r="0" t="0"/>
                  <wp:docPr descr="" title="" id="212" name="Picture"/>
                  <a:graphic>
                    <a:graphicData uri="http://schemas.openxmlformats.org/drawingml/2006/picture">
                      <pic:pic>
                        <pic:nvPicPr>
                          <pic:cNvPr descr="diagnostics_files/figure-docx/fig-rand1-1.gif" id="213" name="Picture"/>
                          <pic:cNvPicPr>
                            <a:picLocks noChangeArrowheads="1" noChangeAspect="1"/>
                          </pic:cNvPicPr>
                        </pic:nvPicPr>
                        <pic:blipFill>
                          <a:blip r:embed="rId21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1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18" w:name="fig-rand2"/>
          <w:p>
            <w:pPr>
              <w:pStyle w:val="Compact"/>
              <w:jc w:val="center"/>
            </w:pPr>
            <w:r>
              <w:drawing>
                <wp:inline>
                  <wp:extent cx="4572000" cy="4572000"/>
                  <wp:effectExtent b="0" l="0" r="0" t="0"/>
                  <wp:docPr descr="" title="" id="216" name="Picture"/>
                  <a:graphic>
                    <a:graphicData uri="http://schemas.openxmlformats.org/drawingml/2006/picture">
                      <pic:pic>
                        <pic:nvPicPr>
                          <pic:cNvPr descr="diagnostics_files/figure-docx/fig-rand2-1.gif" id="217" name="Picture"/>
                          <pic:cNvPicPr>
                            <a:picLocks noChangeArrowheads="1" noChangeAspect="1"/>
                          </pic:cNvPicPr>
                        </pic:nvPicPr>
                        <pic:blipFill>
                          <a:blip r:embed="rId21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1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19"/>
    <w:bookmarkStart w:id="22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3" w:name="fig-rand3"/>
          <w:p>
            <w:pPr>
              <w:pStyle w:val="Compact"/>
              <w:jc w:val="center"/>
            </w:pPr>
            <w:r>
              <w:drawing>
                <wp:inline>
                  <wp:extent cx="5334000" cy="3048000"/>
                  <wp:effectExtent b="0" l="0" r="0" t="0"/>
                  <wp:docPr descr="" title="" id="221" name="Picture"/>
                  <a:graphic>
                    <a:graphicData uri="http://schemas.openxmlformats.org/drawingml/2006/picture">
                      <pic:pic>
                        <pic:nvPicPr>
                          <pic:cNvPr descr="diagnostics_files/figure-docx/fig-rand3-1.png" id="222" name="Picture"/>
                          <pic:cNvPicPr>
                            <a:picLocks noChangeArrowheads="1" noChangeAspect="1"/>
                          </pic:cNvPicPr>
                        </pic:nvPicPr>
                        <pic:blipFill>
                          <a:blip r:embed="rId22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2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32"/>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32"/>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32"/>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32"/>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32"/>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24"/>
    <w:bookmarkStart w:id="24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2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2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33"/>
        </w:numPr>
      </w:pPr>
      <w:r>
        <w:t xml:space="preserve">H</w:t>
      </w:r>
      <m:oMath>
        <m:sSub>
          <m:e>
            <m:r>
              <m:t>​</m:t>
            </m:r>
          </m:e>
          <m:sub>
            <m:r>
              <m:t>0</m:t>
            </m:r>
          </m:sub>
        </m:sSub>
      </m:oMath>
      <w:r>
        <w:t xml:space="preserve">: There is no significant association between employee tenure and profit</w:t>
      </w:r>
    </w:p>
    <w:p>
      <w:pPr>
        <w:numPr>
          <w:ilvl w:val="0"/>
          <w:numId w:val="1033"/>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2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27">
        <w:r>
          <w:rPr>
            <w:rStyle w:val="Hyperlink"/>
          </w:rPr>
          <w:t xml:space="preserve">wikipedia graph</w:t>
        </w:r>
      </w:hyperlink>
      <w:r>
        <w:t xml:space="preserve">). If we are interested in that, we need to think about a regression model.</w:t>
      </w:r>
    </w:p>
    <w:bookmarkEnd w:id="228"/>
    <w:bookmarkStart w:id="23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32" w:name="fig-emp1"/>
          <w:p>
            <w:pPr>
              <w:pStyle w:val="Compact"/>
              <w:jc w:val="center"/>
            </w:pPr>
            <w:r>
              <w:drawing>
                <wp:inline>
                  <wp:extent cx="5334000" cy="3048000"/>
                  <wp:effectExtent b="0" l="0" r="0" t="0"/>
                  <wp:docPr descr="" title="" id="230" name="Picture"/>
                  <a:graphic>
                    <a:graphicData uri="http://schemas.openxmlformats.org/drawingml/2006/picture">
                      <pic:pic>
                        <pic:nvPicPr>
                          <pic:cNvPr descr="diagnostics_files/figure-docx/fig-emp1-1.png" id="231" name="Picture"/>
                          <pic:cNvPicPr>
                            <a:picLocks noChangeArrowheads="1" noChangeAspect="1"/>
                          </pic:cNvPicPr>
                        </pic:nvPicPr>
                        <pic:blipFill>
                          <a:blip r:embed="rId22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3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36" w:name="fig-excelreg"/>
          <w:p>
            <w:pPr>
              <w:pStyle w:val="Compact"/>
              <w:jc w:val="center"/>
            </w:pPr>
            <w:r>
              <w:drawing>
                <wp:inline>
                  <wp:extent cx="5334000" cy="1798320"/>
                  <wp:effectExtent b="0" l="0" r="0" t="0"/>
                  <wp:docPr descr="" title="" id="234" name="Picture"/>
                  <a:graphic>
                    <a:graphicData uri="http://schemas.openxmlformats.org/drawingml/2006/picture">
                      <pic:pic>
                        <pic:nvPicPr>
                          <pic:cNvPr descr="pics/C4/simple_reg.png" id="235" name="Picture"/>
                          <pic:cNvPicPr>
                            <a:picLocks noChangeArrowheads="1" noChangeAspect="1"/>
                          </pic:cNvPicPr>
                        </pic:nvPicPr>
                        <pic:blipFill>
                          <a:blip r:embed="rId23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3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37"/>
    <w:bookmarkStart w:id="24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34"/>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34"/>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3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42" w:name="fig-dag-rs"/>
          <w:p>
            <w:pPr>
              <w:pStyle w:val="Compact"/>
              <w:jc w:val="center"/>
            </w:pPr>
            <w:r>
              <w:drawing>
                <wp:inline>
                  <wp:extent cx="5334000" cy="3111500"/>
                  <wp:effectExtent b="0" l="0" r="0" t="0"/>
                  <wp:docPr descr="" title="" id="240" name="Picture"/>
                  <a:graphic>
                    <a:graphicData uri="http://schemas.openxmlformats.org/drawingml/2006/picture">
                      <pic:pic>
                        <pic:nvPicPr>
                          <pic:cNvPr descr="diagnostics_files/figure-docx/fig-dag-rs-1.png" id="241" name="Picture"/>
                          <pic:cNvPicPr>
                            <a:picLocks noChangeArrowheads="1" noChangeAspect="1"/>
                          </pic:cNvPicPr>
                        </pic:nvPicPr>
                        <pic:blipFill>
                          <a:blip r:embed="rId23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4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4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44"/>
    <w:bookmarkStart w:id="24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35"/>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35"/>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35"/>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35"/>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35"/>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45"/>
    <w:bookmarkStart w:id="24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4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47"/>
    <w:bookmarkEnd w:id="248"/>
    <w:bookmarkStart w:id="25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4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50"/>
    <w:bookmarkStart w:id="25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54" w:name="fig-logreg"/>
          <w:p>
            <w:pPr>
              <w:pStyle w:val="Compact"/>
              <w:jc w:val="center"/>
            </w:pPr>
            <w:r>
              <w:drawing>
                <wp:inline>
                  <wp:extent cx="5334000" cy="3111500"/>
                  <wp:effectExtent b="0" l="0" r="0" t="0"/>
                  <wp:docPr descr="" title="" id="252" name="Picture"/>
                  <a:graphic>
                    <a:graphicData uri="http://schemas.openxmlformats.org/drawingml/2006/picture">
                      <pic:pic>
                        <pic:nvPicPr>
                          <pic:cNvPr descr="diagnostics_files/figure-docx/fig-logreg-1.png" id="253" name="Picture"/>
                          <pic:cNvPicPr>
                            <a:picLocks noChangeArrowheads="1" noChangeAspect="1"/>
                          </pic:cNvPicPr>
                        </pic:nvPicPr>
                        <pic:blipFill>
                          <a:blip r:embed="rId25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5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58" w:name="fig-logreg2"/>
          <w:p>
            <w:pPr>
              <w:pStyle w:val="Compact"/>
              <w:jc w:val="center"/>
            </w:pPr>
            <w:r>
              <w:drawing>
                <wp:inline>
                  <wp:extent cx="5334000" cy="3111500"/>
                  <wp:effectExtent b="0" l="0" r="0" t="0"/>
                  <wp:docPr descr="" title="" id="256" name="Picture"/>
                  <a:graphic>
                    <a:graphicData uri="http://schemas.openxmlformats.org/drawingml/2006/picture">
                      <pic:pic>
                        <pic:nvPicPr>
                          <pic:cNvPr descr="diagnostics_files/figure-docx/fig-logreg2-1.png" id="257" name="Picture"/>
                          <pic:cNvPicPr>
                            <a:picLocks noChangeArrowheads="1" noChangeAspect="1"/>
                          </pic:cNvPicPr>
                        </pic:nvPicPr>
                        <pic:blipFill>
                          <a:blip r:embed="rId25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58"/>
        </w:tc>
      </w:tr>
    </w:tbl>
    <w:bookmarkEnd w:id="259"/>
    <w:bookmarkStart w:id="26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60"/>
    <w:bookmarkEnd w:id="261"/>
    <w:bookmarkStart w:id="316" w:name="sec-pred"/>
    <w:p>
      <w:pPr>
        <w:pStyle w:val="Heading1"/>
      </w:pPr>
      <w:r>
        <w:t xml:space="preserve">5. Predictive Analytics</w:t>
      </w:r>
    </w:p>
    <w:bookmarkStart w:id="262" w:name="learning-goals-3"/>
    <w:p>
      <w:pPr>
        <w:pStyle w:val="Heading2"/>
      </w:pPr>
      <w:r>
        <w:t xml:space="preserve">5.1 Learning goals</w:t>
      </w:r>
    </w:p>
    <w:p>
      <w:pPr>
        <w:pStyle w:val="Compact"/>
        <w:numPr>
          <w:ilvl w:val="0"/>
          <w:numId w:val="1036"/>
        </w:numPr>
      </w:pPr>
      <w:r>
        <w:t xml:space="preserve">Learn how to do principled data-based forecasting for decision making</w:t>
      </w:r>
    </w:p>
    <w:p>
      <w:pPr>
        <w:pStyle w:val="Compact"/>
        <w:numPr>
          <w:ilvl w:val="0"/>
          <w:numId w:val="1036"/>
        </w:numPr>
      </w:pPr>
      <w:r>
        <w:t xml:space="preserve">Evaluate a prediction models quality based on standard metrics and theory</w:t>
      </w:r>
    </w:p>
    <w:bookmarkEnd w:id="262"/>
    <w:bookmarkStart w:id="26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6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64"/>
    <w:bookmarkStart w:id="26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65"/>
    <w:bookmarkStart w:id="279" w:name="the-source-of-prediction-errors"/>
    <w:p>
      <w:pPr>
        <w:pStyle w:val="Heading2"/>
      </w:pPr>
      <w:r>
        <w:t xml:space="preserve">5.4 The source of prediction errors</w:t>
      </w:r>
    </w:p>
    <w:bookmarkStart w:id="27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69" w:name="fig-overfit"/>
          <w:p>
            <w:pPr>
              <w:pStyle w:val="Compact"/>
              <w:jc w:val="center"/>
            </w:pPr>
            <w:r>
              <w:drawing>
                <wp:inline>
                  <wp:extent cx="5334000" cy="2667000"/>
                  <wp:effectExtent b="0" l="0" r="0" t="0"/>
                  <wp:docPr descr="" title="" id="267" name="Picture"/>
                  <a:graphic>
                    <a:graphicData uri="http://schemas.openxmlformats.org/drawingml/2006/picture">
                      <pic:pic>
                        <pic:nvPicPr>
                          <pic:cNvPr descr="predictions_files/figure-docx/fig-overfit-1.gif" id="268" name="Picture"/>
                          <pic:cNvPicPr>
                            <a:picLocks noChangeArrowheads="1" noChangeAspect="1"/>
                          </pic:cNvPicPr>
                        </pic:nvPicPr>
                        <pic:blipFill>
                          <a:blip r:embed="rId26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6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73" w:name="fig-overfit2"/>
          <w:p>
            <w:pPr>
              <w:pStyle w:val="Compact"/>
              <w:jc w:val="center"/>
            </w:pPr>
            <w:r>
              <w:drawing>
                <wp:inline>
                  <wp:extent cx="5334000" cy="3516312"/>
                  <wp:effectExtent b="0" l="0" r="0" t="0"/>
                  <wp:docPr descr="" title="" id="271" name="Picture"/>
                  <a:graphic>
                    <a:graphicData uri="http://schemas.openxmlformats.org/drawingml/2006/picture">
                      <pic:pic>
                        <pic:nvPicPr>
                          <pic:cNvPr descr="predictions_files/figure-docx/fig-overfit2-1.png" id="272" name="Picture"/>
                          <pic:cNvPicPr>
                            <a:picLocks noChangeArrowheads="1" noChangeAspect="1"/>
                          </pic:cNvPicPr>
                        </pic:nvPicPr>
                        <pic:blipFill>
                          <a:blip r:embed="rId27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7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7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7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7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76"/>
    <w:bookmarkStart w:id="27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77"/>
    <w:bookmarkStart w:id="27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78"/>
    <w:bookmarkEnd w:id="279"/>
    <w:bookmarkStart w:id="291" w:name="assessing-prediction-performance"/>
    <w:p>
      <w:pPr>
        <w:pStyle w:val="Heading2"/>
      </w:pPr>
      <w:r>
        <w:t xml:space="preserve">5.5 Assessing prediction performance</w:t>
      </w:r>
    </w:p>
    <w:bookmarkStart w:id="28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8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8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8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8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84"/>
    <w:bookmarkStart w:id="28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88" w:name="fig-roccurve"/>
          <w:p>
            <w:pPr>
              <w:pStyle w:val="Compact"/>
              <w:jc w:val="center"/>
            </w:pPr>
            <w:r>
              <w:drawing>
                <wp:inline>
                  <wp:extent cx="4876800" cy="4876800"/>
                  <wp:effectExtent b="0" l="0" r="0" t="0"/>
                  <wp:docPr descr="" title="" id="286" name="Picture"/>
                  <a:graphic>
                    <a:graphicData uri="http://schemas.openxmlformats.org/drawingml/2006/picture">
                      <pic:pic>
                        <pic:nvPicPr>
                          <pic:cNvPr descr="predictions_files/figure-docx/fig-roccurve-1.png" id="287" name="Picture"/>
                          <pic:cNvPicPr>
                            <a:picLocks noChangeArrowheads="1" noChangeAspect="1"/>
                          </pic:cNvPicPr>
                        </pic:nvPicPr>
                        <pic:blipFill>
                          <a:blip r:embed="rId28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8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89"/>
    <w:bookmarkStart w:id="29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90"/>
    <w:bookmarkEnd w:id="291"/>
    <w:bookmarkStart w:id="314" w:name="a-full-prediction-example"/>
    <w:p>
      <w:pPr>
        <w:pStyle w:val="Heading2"/>
      </w:pPr>
      <w:r>
        <w:t xml:space="preserve">5.6 A full prediction example</w:t>
      </w:r>
    </w:p>
    <w:bookmarkStart w:id="29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5" w:name="fig-repairtime"/>
          <w:p>
            <w:pPr>
              <w:pStyle w:val="Compact"/>
              <w:jc w:val="center"/>
            </w:pPr>
            <w:r>
              <w:drawing>
                <wp:inline>
                  <wp:extent cx="5334000" cy="3556000"/>
                  <wp:effectExtent b="0" l="0" r="0" t="0"/>
                  <wp:docPr descr="" title="" id="293" name="Picture"/>
                  <a:graphic>
                    <a:graphicData uri="http://schemas.openxmlformats.org/drawingml/2006/picture">
                      <pic:pic>
                        <pic:nvPicPr>
                          <pic:cNvPr descr="predictions_files/figure-docx/fig-repairtime-1.png" id="294" name="Picture"/>
                          <pic:cNvPicPr>
                            <a:picLocks noChangeArrowheads="1" noChangeAspect="1"/>
                          </pic:cNvPicPr>
                        </pic:nvPicPr>
                        <pic:blipFill>
                          <a:blip r:embed="rId29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9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96"/>
    <w:bookmarkStart w:id="29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97"/>
    <w:bookmarkStart w:id="29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98"/>
    <w:bookmarkStart w:id="30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302" w:name="fig-fitchecking"/>
          <w:p>
            <w:pPr>
              <w:pStyle w:val="Compact"/>
              <w:jc w:val="center"/>
            </w:pPr>
            <w:r>
              <w:drawing>
                <wp:inline>
                  <wp:extent cx="5334000" cy="5334000"/>
                  <wp:effectExtent b="0" l="0" r="0" t="0"/>
                  <wp:docPr descr="" title="" id="300" name="Picture"/>
                  <a:graphic>
                    <a:graphicData uri="http://schemas.openxmlformats.org/drawingml/2006/picture">
                      <pic:pic>
                        <pic:nvPicPr>
                          <pic:cNvPr descr="predictions_files/figure-docx/fig-fitchecking-1.png" id="301" name="Picture"/>
                          <pic:cNvPicPr>
                            <a:picLocks noChangeArrowheads="1" noChangeAspect="1"/>
                          </pic:cNvPicPr>
                        </pic:nvPicPr>
                        <pic:blipFill>
                          <a:blip r:embed="rId29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30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303"/>
    <w:bookmarkStart w:id="30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307" w:name="fig-fitchecking2"/>
          <w:p>
            <w:pPr>
              <w:pStyle w:val="Compact"/>
              <w:jc w:val="center"/>
            </w:pPr>
            <w:r>
              <w:drawing>
                <wp:inline>
                  <wp:extent cx="5334000" cy="5334000"/>
                  <wp:effectExtent b="0" l="0" r="0" t="0"/>
                  <wp:docPr descr="" title="" id="305" name="Picture"/>
                  <a:graphic>
                    <a:graphicData uri="http://schemas.openxmlformats.org/drawingml/2006/picture">
                      <pic:pic>
                        <pic:nvPicPr>
                          <pic:cNvPr descr="predictions_files/figure-docx/fig-fitchecking2-1.png" id="306" name="Picture"/>
                          <pic:cNvPicPr>
                            <a:picLocks noChangeArrowheads="1" noChangeAspect="1"/>
                          </pic:cNvPicPr>
                        </pic:nvPicPr>
                        <pic:blipFill>
                          <a:blip r:embed="rId30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30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308"/>
    <w:bookmarkStart w:id="31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sumerr"/>
          <w:p>
            <w:pPr>
              <w:pStyle w:val="Compact"/>
              <w:jc w:val="center"/>
            </w:pPr>
            <w:r>
              <w:drawing>
                <wp:inline>
                  <wp:extent cx="5334000" cy="3556000"/>
                  <wp:effectExtent b="0" l="0" r="0" t="0"/>
                  <wp:docPr descr="" title="" id="310" name="Picture"/>
                  <a:graphic>
                    <a:graphicData uri="http://schemas.openxmlformats.org/drawingml/2006/picture">
                      <pic:pic>
                        <pic:nvPicPr>
                          <pic:cNvPr descr="predictions_files/figure-docx/fig-sumerr-1.png" id="311" name="Picture"/>
                          <pic:cNvPicPr>
                            <a:picLocks noChangeArrowheads="1" noChangeAspect="1"/>
                          </pic:cNvPicPr>
                        </pic:nvPicPr>
                        <pic:blipFill>
                          <a:blip r:embed="rId30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1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13"/>
    <w:bookmarkEnd w:id="314"/>
    <w:bookmarkStart w:id="31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15"/>
    <w:bookmarkEnd w:id="316"/>
    <w:bookmarkStart w:id="355" w:name="sec-reporting"/>
    <w:p>
      <w:pPr>
        <w:pStyle w:val="Heading1"/>
      </w:pPr>
      <w:r>
        <w:t xml:space="preserve">6. Reporting Design</w:t>
      </w:r>
    </w:p>
    <w:bookmarkStart w:id="317" w:name="learning-goals-4"/>
    <w:p>
      <w:pPr>
        <w:pStyle w:val="Heading2"/>
      </w:pPr>
      <w:r>
        <w:t xml:space="preserve">6.1 Learning goals</w:t>
      </w:r>
    </w:p>
    <w:p>
      <w:pPr>
        <w:pStyle w:val="Compact"/>
        <w:numPr>
          <w:ilvl w:val="0"/>
          <w:numId w:val="1037"/>
        </w:numPr>
      </w:pPr>
      <w:r>
        <w:t xml:space="preserve">Understand the importance of dashboards for reporting user-oriented results</w:t>
      </w:r>
    </w:p>
    <w:p>
      <w:pPr>
        <w:pStyle w:val="Compact"/>
        <w:numPr>
          <w:ilvl w:val="0"/>
          <w:numId w:val="1037"/>
        </w:numPr>
      </w:pPr>
      <w:r>
        <w:t xml:space="preserve">Apply dashboard design principles</w:t>
      </w:r>
    </w:p>
    <w:p>
      <w:pPr>
        <w:pStyle w:val="Compact"/>
        <w:numPr>
          <w:ilvl w:val="0"/>
          <w:numId w:val="1037"/>
        </w:numPr>
      </w:pPr>
      <w:r>
        <w:t xml:space="preserve">Evaluate the design of existing dashboards</w:t>
      </w:r>
    </w:p>
    <w:bookmarkEnd w:id="317"/>
    <w:bookmarkStart w:id="32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18" name="Picture"/>
            <a:graphic>
              <a:graphicData uri="http://schemas.openxmlformats.org/drawingml/2006/picture">
                <pic:pic>
                  <pic:nvPicPr>
                    <pic:cNvPr descr="pics/C2/2questions.png" id="31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20"/>
    <w:bookmarkStart w:id="32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22" name="Picture"/>
            <a:graphic>
              <a:graphicData uri="http://schemas.openxmlformats.org/drawingml/2006/picture">
                <pic:pic>
                  <pic:nvPicPr>
                    <pic:cNvPr descr="pics/C5/dashboard.png" id="323" name="Picture"/>
                    <pic:cNvPicPr>
                      <a:picLocks noChangeArrowheads="1" noChangeAspect="1"/>
                    </pic:cNvPicPr>
                  </pic:nvPicPr>
                  <pic:blipFill>
                    <a:blip r:embed="rId32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24"/>
    <w:bookmarkStart w:id="351" w:name="principles-of-effective-dashboard-design"/>
    <w:p>
      <w:pPr>
        <w:pStyle w:val="Heading2"/>
      </w:pPr>
      <w:r>
        <w:t xml:space="preserve">6.4 Principles of effective dashboard design</w:t>
      </w:r>
    </w:p>
    <w:bookmarkStart w:id="32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25"/>
    <w:bookmarkStart w:id="32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26"/>
    <w:bookmarkStart w:id="32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27"/>
    <w:bookmarkStart w:id="32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28"/>
    <w:bookmarkStart w:id="33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30" name="Picture"/>
            <a:graphic>
              <a:graphicData uri="http://schemas.openxmlformats.org/drawingml/2006/picture">
                <pic:pic>
                  <pic:nvPicPr>
                    <pic:cNvPr descr="pics/C5/charts.png" id="331" name="Picture"/>
                    <pic:cNvPicPr>
                      <a:picLocks noChangeArrowheads="1" noChangeAspect="1"/>
                    </pic:cNvPicPr>
                  </pic:nvPicPr>
                  <pic:blipFill>
                    <a:blip r:embed="rId32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32"/>
    <w:bookmarkStart w:id="34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3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33"/>
    <w:bookmarkStart w:id="34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35" name="Picture"/>
            <a:graphic>
              <a:graphicData uri="http://schemas.openxmlformats.org/drawingml/2006/picture">
                <pic:pic>
                  <pic:nvPicPr>
                    <pic:cNvPr descr="pics/C5/fpattern.png" id="336" name="Picture"/>
                    <pic:cNvPicPr>
                      <a:picLocks noChangeArrowheads="1" noChangeAspect="1"/>
                    </pic:cNvPicPr>
                  </pic:nvPicPr>
                  <pic:blipFill>
                    <a:blip r:embed="rId33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38" name="Picture"/>
            <a:graphic>
              <a:graphicData uri="http://schemas.openxmlformats.org/drawingml/2006/picture">
                <pic:pic>
                  <pic:nvPicPr>
                    <pic:cNvPr descr="pics/C5/zpattern.png" id="339" name="Picture"/>
                    <pic:cNvPicPr>
                      <a:picLocks noChangeArrowheads="1" noChangeAspect="1"/>
                    </pic:cNvPicPr>
                  </pic:nvPicPr>
                  <pic:blipFill>
                    <a:blip r:embed="rId3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40"/>
    <w:bookmarkStart w:id="34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41"/>
    <w:bookmarkStart w:id="34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42"/>
    <w:bookmarkStart w:id="34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44" name="Picture"/>
            <a:graphic>
              <a:graphicData uri="http://schemas.openxmlformats.org/drawingml/2006/picture">
                <pic:pic>
                  <pic:nvPicPr>
                    <pic:cNvPr descr="pics/C5/dashboard2.png" id="345" name="Picture"/>
                    <pic:cNvPicPr>
                      <a:picLocks noChangeArrowheads="1" noChangeAspect="1"/>
                    </pic:cNvPicPr>
                  </pic:nvPicPr>
                  <pic:blipFill>
                    <a:blip r:embed="rId34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38"/>
        </w:numPr>
      </w:pPr>
      <w:r>
        <w:t xml:space="preserve">In terms of positioning, it appears that we need to follow a column order, making us read top-down several times…irritating.</w:t>
      </w:r>
    </w:p>
    <w:p>
      <w:pPr>
        <w:pStyle w:val="Compact"/>
        <w:numPr>
          <w:ilvl w:val="0"/>
          <w:numId w:val="1038"/>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38"/>
        </w:numPr>
      </w:pPr>
      <w:r>
        <w:t xml:space="preserve">Apart from that, the chart on the left bottom does not seem to add any information value which makes is unnecessary in this dashboard.</w:t>
      </w:r>
    </w:p>
    <w:p>
      <w:pPr>
        <w:pStyle w:val="Compact"/>
        <w:numPr>
          <w:ilvl w:val="0"/>
          <w:numId w:val="1038"/>
        </w:numPr>
      </w:pPr>
      <w:r>
        <w:t xml:space="preserve">In addition, there is no clear visual hierarchy. But it may be that all items are equally important?</w:t>
      </w:r>
    </w:p>
    <w:p>
      <w:pPr>
        <w:pStyle w:val="Compact"/>
        <w:numPr>
          <w:ilvl w:val="0"/>
          <w:numId w:val="1038"/>
        </w:numPr>
      </w:pPr>
      <w:r>
        <w:t xml:space="preserve">Speaking about color, the dashboard uses many highly saturated colors, again making it difficult to focus.</w:t>
      </w:r>
    </w:p>
    <w:p>
      <w:pPr>
        <w:pStyle w:val="Compact"/>
        <w:numPr>
          <w:ilvl w:val="0"/>
          <w:numId w:val="1038"/>
        </w:numPr>
      </w:pPr>
      <w:r>
        <w:t xml:space="preserve">We are missing some benchmarks: e.g., is 96,5% on time delivery good or bad?</w:t>
      </w:r>
    </w:p>
    <w:p>
      <w:pPr>
        <w:pStyle w:val="Compact"/>
        <w:numPr>
          <w:ilvl w:val="0"/>
          <w:numId w:val="1038"/>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46"/>
    <w:bookmarkEnd w:id="347"/>
    <w:bookmarkStart w:id="34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48"/>
    <w:bookmarkStart w:id="34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49"/>
    <w:bookmarkStart w:id="35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50"/>
    <w:bookmarkEnd w:id="351"/>
    <w:bookmarkStart w:id="35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5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52"/>
    <w:bookmarkStart w:id="35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53"/>
    <w:bookmarkEnd w:id="354"/>
    <w:bookmarkEnd w:id="355"/>
    <w:bookmarkStart w:id="369" w:name="references"/>
    <w:p>
      <w:pPr>
        <w:pStyle w:val="Heading1"/>
      </w:pPr>
      <w:r>
        <w:t xml:space="preserve">References</w:t>
      </w:r>
    </w:p>
    <w:bookmarkStart w:id="368" w:name="refs"/>
    <w:bookmarkStart w:id="35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56"/>
    <w:bookmarkStart w:id="35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57"/>
    <w:bookmarkStart w:id="35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58"/>
    <w:bookmarkStart w:id="36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59">
        <w:r>
          <w:rPr>
            <w:rStyle w:val="Hyperlink"/>
          </w:rPr>
          <w:t xml:space="preserve">https://www.nature.com/articles/nature07634</w:t>
        </w:r>
      </w:hyperlink>
      <w:r>
        <w:t xml:space="preserve">.</w:t>
      </w:r>
    </w:p>
    <w:bookmarkEnd w:id="360"/>
    <w:bookmarkStart w:id="36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61">
        <w:r>
          <w:rPr>
            <w:rStyle w:val="Hyperlink"/>
          </w:rPr>
          <w:t xml:space="preserve">https://www.science.org/doi/full/10.1126/science.1248506</w:t>
        </w:r>
      </w:hyperlink>
      <w:r>
        <w:t xml:space="preserve">.</w:t>
      </w:r>
    </w:p>
    <w:bookmarkEnd w:id="362"/>
    <w:bookmarkStart w:id="36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63"/>
    <w:bookmarkStart w:id="36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64"/>
    <w:bookmarkStart w:id="36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65"/>
    <w:bookmarkStart w:id="36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66"/>
    <w:bookmarkStart w:id="36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67"/>
    <w:bookmarkEnd w:id="368"/>
    <w:bookmarkEnd w:id="3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2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2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3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4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4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49">
    <w:p>
      <w:pPr>
        <w:pStyle w:val="FootnoteText"/>
      </w:pPr>
      <w:r>
        <w:rPr>
          <w:rStyle w:val="FootnoteReference"/>
        </w:rPr>
        <w:footnoteRef/>
      </w:r>
      <w:r>
        <w:t xml:space="preserve"> </w:t>
      </w:r>
      <w:r>
        <w:t xml:space="preserve">There is also a model F-test, but we ignore that. It is rarely useful for model selection.</w:t>
      </w:r>
    </w:p>
  </w:footnote>
  <w:footnote w:id="26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7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11" Target="media/rId211.gif" /><Relationship Type="http://schemas.openxmlformats.org/officeDocument/2006/relationships/image" Id="rId215" Target="media/rId215.gif" /><Relationship Type="http://schemas.openxmlformats.org/officeDocument/2006/relationships/image" Id="rId220" Target="media/rId22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50" Target="media/rId150.png" /><Relationship Type="http://schemas.openxmlformats.org/officeDocument/2006/relationships/image" Id="rId97" Target="media/rId97.png" /><Relationship Type="http://schemas.openxmlformats.org/officeDocument/2006/relationships/image" Id="rId178" Target="media/rId178.png" /><Relationship Type="http://schemas.openxmlformats.org/officeDocument/2006/relationships/image" Id="rId159" Target="media/rId159.png" /><Relationship Type="http://schemas.openxmlformats.org/officeDocument/2006/relationships/image" Id="rId155" Target="media/rId155.png" /><Relationship Type="http://schemas.openxmlformats.org/officeDocument/2006/relationships/image" Id="rId171" Target="media/rId171.png" /><Relationship Type="http://schemas.openxmlformats.org/officeDocument/2006/relationships/image" Id="rId146" Target="media/rId146.png" /><Relationship Type="http://schemas.openxmlformats.org/officeDocument/2006/relationships/image" Id="rId185" Target="media/rId185.png" /><Relationship Type="http://schemas.openxmlformats.org/officeDocument/2006/relationships/image" Id="rId141" Target="media/rId141.png" /><Relationship Type="http://schemas.openxmlformats.org/officeDocument/2006/relationships/image" Id="rId167" Target="media/rId167.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33" Target="media/rId233.png" /><Relationship Type="http://schemas.openxmlformats.org/officeDocument/2006/relationships/image" Id="rId329" Target="media/rId329.png" /><Relationship Type="http://schemas.openxmlformats.org/officeDocument/2006/relationships/image" Id="rId321" Target="media/rId321.png" /><Relationship Type="http://schemas.openxmlformats.org/officeDocument/2006/relationships/image" Id="rId343" Target="media/rId343.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99" Target="media/rId299.png" /><Relationship Type="http://schemas.openxmlformats.org/officeDocument/2006/relationships/image" Id="rId304" Target="media/rId304.png" /><Relationship Type="http://schemas.openxmlformats.org/officeDocument/2006/relationships/image" Id="rId266" Target="media/rId266.gif" /><Relationship Type="http://schemas.openxmlformats.org/officeDocument/2006/relationships/image" Id="rId270" Target="media/rId270.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09" Target="media/rId309.png" /><Relationship Type="http://schemas.openxmlformats.org/officeDocument/2006/relationships/hyperlink" Id="rId280" Target="https://en.wikipedia.org/wiki/Akaike_information_criterion" TargetMode="External" /><Relationship Type="http://schemas.openxmlformats.org/officeDocument/2006/relationships/hyperlink" Id="rId227" Target="https://en.wikipedia.org/wiki/Pearson_correlation_coefficient#/media/File:Correlation_examples2.svg" TargetMode="External" /><Relationship Type="http://schemas.openxmlformats.org/officeDocument/2006/relationships/hyperlink" Id="rId283" Target="https://github.com/IBM/employee-attrition-aif360" TargetMode="External" /><Relationship Type="http://schemas.openxmlformats.org/officeDocument/2006/relationships/hyperlink" Id="rId359" Target="https://www.nature.com/articles/nature07634" TargetMode="External" /><Relationship Type="http://schemas.openxmlformats.org/officeDocument/2006/relationships/hyperlink" Id="rId361" Target="https://www.science.org/doi/full/10.1126/science.1248506" TargetMode="External" /><Relationship Type="http://schemas.openxmlformats.org/officeDocument/2006/relationships/hyperlink" Id="rId281" Target="https://www.tidymodels.org/" TargetMode="External" /><Relationship Type="http://schemas.openxmlformats.org/officeDocument/2006/relationships/hyperlink" Id="rId28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80" Target="https://en.wikipedia.org/wiki/Akaike_information_criterion" TargetMode="External" /><Relationship Type="http://schemas.openxmlformats.org/officeDocument/2006/relationships/hyperlink" Id="rId227" Target="https://en.wikipedia.org/wiki/Pearson_correlation_coefficient#/media/File:Correlation_examples2.svg" TargetMode="External" /><Relationship Type="http://schemas.openxmlformats.org/officeDocument/2006/relationships/hyperlink" Id="rId283" Target="https://github.com/IBM/employee-attrition-aif360" TargetMode="External" /><Relationship Type="http://schemas.openxmlformats.org/officeDocument/2006/relationships/hyperlink" Id="rId359" Target="https://www.nature.com/articles/nature07634" TargetMode="External" /><Relationship Type="http://schemas.openxmlformats.org/officeDocument/2006/relationships/hyperlink" Id="rId361" Target="https://www.science.org/doi/full/10.1126/science.1248506" TargetMode="External" /><Relationship Type="http://schemas.openxmlformats.org/officeDocument/2006/relationships/hyperlink" Id="rId281" Target="https://www.tidymodels.org/" TargetMode="External" /><Relationship Type="http://schemas.openxmlformats.org/officeDocument/2006/relationships/hyperlink" Id="rId28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2025-04-13T18:53:46Z</dcterms:created>
  <dcterms:modified xsi:type="dcterms:W3CDTF">2025-04-13T18:53:46Z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2025-04-13</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